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E9410">
      <w:pPr>
        <w:adjustRightInd w:val="0"/>
        <w:snapToGrid w:val="0"/>
        <w:spacing w:after="312" w:afterLines="100" w:line="560" w:lineRule="exact"/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附件1</w:t>
      </w:r>
    </w:p>
    <w:p w14:paraId="75D583E5">
      <w:pPr>
        <w:keepNext w:val="0"/>
        <w:keepLines w:val="0"/>
        <w:pageBreakBefore w:val="0"/>
        <w:widowControl w:val="0"/>
        <w:kinsoku/>
        <w:wordWrap/>
        <w:overflowPunct w:val="0"/>
        <w:bidi w:val="0"/>
        <w:ind w:firstLine="0" w:firstLineChars="0"/>
        <w:jc w:val="center"/>
        <w:rPr>
          <w:rFonts w:hint="eastAsia" w:cs="Times New Roman" w:asciiTheme="minorEastAsia" w:hAnsiTheme="minorEastAsia" w:eastAsiaTheme="minorEastAsia"/>
          <w:b/>
          <w:sz w:val="28"/>
          <w:szCs w:val="28"/>
        </w:rPr>
      </w:pPr>
      <w:bookmarkStart w:id="0" w:name="_Toc29936"/>
      <w:bookmarkStart w:id="1" w:name="_Toc14466"/>
      <w:bookmarkStart w:id="2" w:name="_Toc3511"/>
      <w:r>
        <w:rPr>
          <w:rFonts w:hint="eastAsia" w:cs="Times New Roman" w:asciiTheme="minorEastAsia" w:hAnsiTheme="minorEastAsia" w:eastAsiaTheme="minorEastAsia"/>
          <w:b/>
          <w:sz w:val="28"/>
          <w:szCs w:val="28"/>
        </w:rPr>
        <w:t>高校实验室安全分级表</w:t>
      </w:r>
      <w:bookmarkEnd w:id="0"/>
      <w:bookmarkEnd w:id="1"/>
      <w:bookmarkEnd w:id="2"/>
    </w:p>
    <w:p w14:paraId="12C79BDC">
      <w:pPr>
        <w:pStyle w:val="2"/>
        <w:rPr>
          <w:rFonts w:hint="eastAsia"/>
        </w:rPr>
      </w:pPr>
    </w:p>
    <w:tbl>
      <w:tblPr>
        <w:tblStyle w:val="4"/>
        <w:tblW w:w="8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7253"/>
      </w:tblGrid>
      <w:tr w14:paraId="0EC97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tblHeader/>
          <w:jc w:val="center"/>
        </w:trPr>
        <w:tc>
          <w:tcPr>
            <w:tcW w:w="1556" w:type="dxa"/>
            <w:noWrap w:val="0"/>
            <w:vAlign w:val="top"/>
          </w:tcPr>
          <w:p w14:paraId="3026F71C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安全级别</w:t>
            </w:r>
          </w:p>
        </w:tc>
        <w:tc>
          <w:tcPr>
            <w:tcW w:w="7253" w:type="dxa"/>
            <w:noWrap w:val="0"/>
            <w:vAlign w:val="top"/>
          </w:tcPr>
          <w:p w14:paraId="2FFC04F2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参考分级依据</w:t>
            </w:r>
          </w:p>
        </w:tc>
      </w:tr>
      <w:tr w14:paraId="75FEB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8" w:hRule="atLeast"/>
          <w:jc w:val="center"/>
        </w:trPr>
        <w:tc>
          <w:tcPr>
            <w:tcW w:w="1556" w:type="dxa"/>
            <w:vMerge w:val="restart"/>
            <w:noWrap w:val="0"/>
            <w:vAlign w:val="top"/>
          </w:tcPr>
          <w:p w14:paraId="0104840F"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Ⅰ级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/红色级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实验室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（重大风险实验室）</w:t>
            </w:r>
          </w:p>
        </w:tc>
        <w:tc>
          <w:tcPr>
            <w:tcW w:w="7253" w:type="dxa"/>
            <w:noWrap w:val="0"/>
            <w:vAlign w:val="top"/>
          </w:tcPr>
          <w:p w14:paraId="2C960515"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实验室有以下情况之一的：</w:t>
            </w:r>
          </w:p>
          <w:p w14:paraId="0357E52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实验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原料或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产物含剧毒化学成分；</w:t>
            </w:r>
          </w:p>
          <w:p w14:paraId="1CB35E6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使用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剧毒化学品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 w14:paraId="6CAA8F8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存储第一类易制毒品、第一类精神药品；</w:t>
            </w:r>
          </w:p>
          <w:p w14:paraId="518F6FE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存储易燃易爆化学品总量大于50kg或50L；</w:t>
            </w:r>
          </w:p>
          <w:p w14:paraId="4F905F7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存储有毒、易燃气体总量≥6瓶；</w:t>
            </w:r>
          </w:p>
          <w:p w14:paraId="4832A7F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生物安全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BSL-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、ABSL-3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BSL-4、ABSL-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4实验室；</w:t>
            </w:r>
          </w:p>
          <w:p w14:paraId="6036147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使用I、II类射线设备；</w:t>
            </w:r>
          </w:p>
          <w:p w14:paraId="3BED68A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使用放射性同位素、放射源、核材料；</w:t>
            </w:r>
          </w:p>
          <w:p w14:paraId="7D14099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使用机电类特种设备；</w:t>
            </w:r>
          </w:p>
          <w:p w14:paraId="1A4669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使用超高压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第三类压力容器；</w:t>
            </w:r>
          </w:p>
          <w:p w14:paraId="6B89FCE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使用强磁、强电设备；</w:t>
            </w:r>
          </w:p>
          <w:p w14:paraId="006A848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使用4、3R、3B类激光设备；</w:t>
            </w:r>
          </w:p>
          <w:p w14:paraId="6F062D7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使用富氧涉爆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实验室自制设备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 w14:paraId="1B1D54E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高校自行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规定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的其他情况</w:t>
            </w:r>
          </w:p>
        </w:tc>
      </w:tr>
      <w:tr w14:paraId="4D20D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556" w:type="dxa"/>
            <w:vMerge w:val="continue"/>
            <w:noWrap w:val="0"/>
            <w:vAlign w:val="top"/>
          </w:tcPr>
          <w:p w14:paraId="197DEA44"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53" w:type="dxa"/>
            <w:noWrap w:val="0"/>
            <w:vAlign w:val="top"/>
          </w:tcPr>
          <w:p w14:paraId="6F71EEB3"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按照《高校实验室安全风险评价表》评分达到100分的实验室</w:t>
            </w:r>
          </w:p>
        </w:tc>
      </w:tr>
      <w:tr w14:paraId="564D7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jc w:val="center"/>
        </w:trPr>
        <w:tc>
          <w:tcPr>
            <w:tcW w:w="1556" w:type="dxa"/>
            <w:vMerge w:val="restart"/>
            <w:noWrap w:val="0"/>
            <w:vAlign w:val="top"/>
          </w:tcPr>
          <w:p w14:paraId="7B4AD1BD"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Ⅱ级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/橙色级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实验室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（高风险实验室）</w:t>
            </w:r>
          </w:p>
        </w:tc>
        <w:tc>
          <w:tcPr>
            <w:tcW w:w="7253" w:type="dxa"/>
            <w:noWrap w:val="0"/>
            <w:vAlign w:val="top"/>
          </w:tcPr>
          <w:p w14:paraId="362A66D7"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实验室有以下情况之一的：</w:t>
            </w:r>
          </w:p>
          <w:p w14:paraId="258D9C9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存储第二类精神药品；</w:t>
            </w:r>
          </w:p>
          <w:p w14:paraId="1B86AC6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存储易燃易爆化学品总量为20~50kg或20~50L；</w:t>
            </w:r>
          </w:p>
          <w:p w14:paraId="0FC3BAA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存储有毒、易燃气体总量为3~6（不含）瓶；</w:t>
            </w:r>
          </w:p>
          <w:p w14:paraId="47E7F9B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生物安全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BSL-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、ABSL-2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实验室；</w:t>
            </w:r>
          </w:p>
          <w:p w14:paraId="4EE7A18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使用第一类、第二类压力容器；</w:t>
            </w:r>
          </w:p>
          <w:p w14:paraId="74CE6C9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高校自行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规定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的其他情况</w:t>
            </w:r>
          </w:p>
        </w:tc>
      </w:tr>
      <w:tr w14:paraId="1DA6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1556" w:type="dxa"/>
            <w:vMerge w:val="continue"/>
            <w:noWrap w:val="0"/>
            <w:vAlign w:val="top"/>
          </w:tcPr>
          <w:p w14:paraId="3A09FBE7"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53" w:type="dxa"/>
            <w:noWrap w:val="0"/>
            <w:vAlign w:val="top"/>
          </w:tcPr>
          <w:p w14:paraId="303FCD23"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按照《高校实验室安全风险评价表》评分在[75, 100)范围的实验室</w:t>
            </w:r>
          </w:p>
        </w:tc>
      </w:tr>
      <w:tr w14:paraId="5860A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56" w:type="dxa"/>
            <w:vMerge w:val="restart"/>
            <w:noWrap w:val="0"/>
            <w:vAlign w:val="top"/>
          </w:tcPr>
          <w:p w14:paraId="2844DDCA"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Ⅲ级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/黄色级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实验室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（中风险实验室）</w:t>
            </w:r>
          </w:p>
        </w:tc>
        <w:tc>
          <w:tcPr>
            <w:tcW w:w="7253" w:type="dxa"/>
            <w:noWrap w:val="0"/>
            <w:vAlign w:val="top"/>
          </w:tcPr>
          <w:p w14:paraId="5E6507BC"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实验室有以下情况之一的：</w:t>
            </w:r>
          </w:p>
          <w:p w14:paraId="507FF93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存储第二/三类易制毒品；</w:t>
            </w:r>
          </w:p>
          <w:p w14:paraId="5551318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生物安全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BSL-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、ABSL-1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实验室；</w:t>
            </w:r>
          </w:p>
          <w:p w14:paraId="67119B3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基础设备老化；</w:t>
            </w:r>
          </w:p>
          <w:p w14:paraId="21EE26C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高校自行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规定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的其他情况</w:t>
            </w:r>
          </w:p>
        </w:tc>
      </w:tr>
      <w:tr w14:paraId="1D15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1556" w:type="dxa"/>
            <w:vMerge w:val="continue"/>
            <w:noWrap w:val="0"/>
            <w:vAlign w:val="top"/>
          </w:tcPr>
          <w:p w14:paraId="3748444C"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53" w:type="dxa"/>
            <w:noWrap w:val="0"/>
            <w:vAlign w:val="top"/>
          </w:tcPr>
          <w:p w14:paraId="7DC19DC0"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按照《高校实验室安全风险评价表》评分在[25, 75)范围的实验室</w:t>
            </w:r>
          </w:p>
        </w:tc>
      </w:tr>
      <w:tr w14:paraId="6223C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jc w:val="center"/>
        </w:trPr>
        <w:tc>
          <w:tcPr>
            <w:tcW w:w="1556" w:type="dxa"/>
            <w:vMerge w:val="restart"/>
            <w:noWrap w:val="0"/>
            <w:vAlign w:val="top"/>
          </w:tcPr>
          <w:p w14:paraId="215FA759"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Ⅳ级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/蓝色级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实验室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（低风险实验室）</w:t>
            </w:r>
          </w:p>
        </w:tc>
        <w:tc>
          <w:tcPr>
            <w:tcW w:w="7253" w:type="dxa"/>
            <w:noWrap w:val="0"/>
            <w:vAlign w:val="top"/>
          </w:tcPr>
          <w:p w14:paraId="70646396">
            <w:pPr>
              <w:widowControl w:val="0"/>
              <w:spacing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实验室有以下情况之一的：</w:t>
            </w:r>
          </w:p>
          <w:p w14:paraId="4FBBEDEE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不涉及重要危险源的实验室；</w:t>
            </w:r>
          </w:p>
          <w:p w14:paraId="6510042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主要涉及一般性消防安全、用电安全的实验室；</w:t>
            </w:r>
          </w:p>
          <w:p w14:paraId="16924EB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720" w:firstLineChars="0"/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高校自行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规定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的其他情况</w:t>
            </w:r>
          </w:p>
        </w:tc>
      </w:tr>
      <w:tr w14:paraId="1797B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1556" w:type="dxa"/>
            <w:vMerge w:val="continue"/>
            <w:noWrap w:val="0"/>
            <w:vAlign w:val="top"/>
          </w:tcPr>
          <w:p w14:paraId="3B20666C"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53" w:type="dxa"/>
            <w:noWrap w:val="0"/>
            <w:vAlign w:val="top"/>
          </w:tcPr>
          <w:p w14:paraId="3395A1AC">
            <w:pPr>
              <w:spacing w:line="240" w:lineRule="auto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按照《高校实验室安全风险评价表》评分在[0, 25)范围的实验室</w:t>
            </w:r>
          </w:p>
        </w:tc>
      </w:tr>
    </w:tbl>
    <w:p w14:paraId="3BD9B3DC">
      <w:pPr>
        <w:spacing w:line="240" w:lineRule="auto"/>
        <w:ind w:firstLine="0" w:firstLineChars="0"/>
        <w:rPr>
          <w:rFonts w:ascii="Times New Roman" w:hAnsi="Times New Roman" w:eastAsia="仿宋_GB2312" w:cs="Times New Roman"/>
          <w:sz w:val="24"/>
          <w:szCs w:val="22"/>
        </w:rPr>
      </w:pPr>
      <w:r>
        <w:rPr>
          <w:rFonts w:hint="eastAsia" w:ascii="Times New Roman" w:hAnsi="Times New Roman" w:eastAsia="仿宋_GB2312" w:cs="Times New Roman"/>
          <w:sz w:val="24"/>
          <w:szCs w:val="22"/>
        </w:rPr>
        <w:t>注：</w:t>
      </w:r>
    </w:p>
    <w:p w14:paraId="164A0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仿宋_GB2312" w:cs="Times New Roman"/>
          <w:sz w:val="24"/>
          <w:szCs w:val="22"/>
        </w:rPr>
      </w:pPr>
      <w:r>
        <w:rPr>
          <w:rFonts w:hint="eastAsia" w:ascii="Times New Roman" w:hAnsi="Times New Roman" w:eastAsia="仿宋_GB2312" w:cs="Times New Roman"/>
          <w:sz w:val="24"/>
          <w:szCs w:val="22"/>
        </w:rPr>
        <w:t>1.实验室分级先按表中各级实验室所对应的参考情况划分，无所列情况的，按《高校实验室安全风险评价表》进行累计评分确定等级。</w:t>
      </w:r>
    </w:p>
    <w:p w14:paraId="7FEC1208">
      <w:r>
        <w:rPr>
          <w:rFonts w:hint="eastAsia" w:ascii="Times New Roman" w:hAnsi="Times New Roman" w:eastAsia="仿宋_GB2312" w:cs="Times New Roman"/>
          <w:sz w:val="24"/>
          <w:szCs w:val="22"/>
        </w:rPr>
        <w:t>2.对于既有本表所列参考情况，又有《高校实验室安全风险评价表》所列危险源的，取两者较高者所对应的实验室等级。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0253F"/>
    <w:multiLevelType w:val="multilevel"/>
    <w:tmpl w:val="1E00253F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4F83913"/>
    <w:multiLevelType w:val="multilevel"/>
    <w:tmpl w:val="34F83913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B1E2370"/>
    <w:multiLevelType w:val="multilevel"/>
    <w:tmpl w:val="6B1E2370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711A52BB"/>
    <w:multiLevelType w:val="multilevel"/>
    <w:tmpl w:val="711A52BB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OTU3ODFiOGUyOTIwZGE3YWZhMjUyZWUyZDU4ZTIifQ=="/>
  </w:docVars>
  <w:rsids>
    <w:rsidRoot w:val="00000000"/>
    <w:rsid w:val="1E491D5C"/>
    <w:rsid w:val="73860C1C"/>
    <w:rsid w:val="77F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unhideWhenUsed/>
    <w:qFormat/>
    <w:uiPriority w:val="99"/>
    <w:pPr>
      <w:ind w:firstLine="420" w:firstLineChars="10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2024-09-10T00:09:00Z</dcterms:created>
  <dc:creator>Administrator</dc:creator>
  <cp:lastModifiedBy>Лючжин</cp:lastModifiedBy>
  <dcterms:modified xsi:type="dcterms:W3CDTF">2024-09-10T03:53:18Z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B2A9B3DC279B4B329267E789DE1E1C73_12</vt:lpwstr>
  </property>
</Properties>
</file>