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41F5">
      <w:pPr>
        <w:spacing w:after="312" w:afterLines="100" w:line="56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 w14:paraId="03C4F549">
      <w:pPr>
        <w:spacing w:after="312" w:afterLines="100"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0"/>
        </w:rPr>
      </w:pPr>
      <w:bookmarkStart w:id="0" w:name="_Toc20053"/>
      <w:bookmarkStart w:id="1" w:name="_Toc20917"/>
      <w:bookmarkStart w:id="2" w:name="_Toc23978"/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高校实验室安全风险评价表</w:t>
      </w:r>
      <w:bookmarkEnd w:id="0"/>
      <w:bookmarkEnd w:id="1"/>
      <w:bookmarkEnd w:id="2"/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478"/>
      </w:tblGrid>
      <w:tr w14:paraId="71D2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  <w:tblHeader/>
          <w:jc w:val="center"/>
        </w:trPr>
        <w:tc>
          <w:tcPr>
            <w:tcW w:w="1481" w:type="dxa"/>
            <w:noWrap w:val="0"/>
            <w:vAlign w:val="top"/>
          </w:tcPr>
          <w:p w14:paraId="4B339435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每项计分</w:t>
            </w:r>
          </w:p>
        </w:tc>
        <w:tc>
          <w:tcPr>
            <w:tcW w:w="7478" w:type="dxa"/>
            <w:noWrap w:val="0"/>
            <w:vAlign w:val="top"/>
          </w:tcPr>
          <w:p w14:paraId="643A887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风险源</w:t>
            </w:r>
          </w:p>
        </w:tc>
      </w:tr>
      <w:tr w14:paraId="1574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1" w:type="dxa"/>
            <w:noWrap w:val="0"/>
            <w:vAlign w:val="top"/>
          </w:tcPr>
          <w:p w14:paraId="01F21F9E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25分</w:t>
            </w:r>
          </w:p>
          <w:p w14:paraId="0E015283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noWrap w:val="0"/>
            <w:vAlign w:val="top"/>
          </w:tcPr>
          <w:p w14:paraId="023CE854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存储易燃易爆化学品总量在5~20kg或5~20L；</w:t>
            </w:r>
          </w:p>
          <w:p w14:paraId="0D983FC4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存储一般危化品总量50~100kg或50~100L；</w:t>
            </w:r>
          </w:p>
          <w:p w14:paraId="35D3A6B7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存储有毒、易燃气体总量为2瓶；</w:t>
            </w:r>
          </w:p>
          <w:p w14:paraId="0E6C87DA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使用III类射线设备的数量≥2台；</w:t>
            </w:r>
          </w:p>
          <w:p w14:paraId="1B79CD3A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使用简单压力容器的数量≥3台；</w:t>
            </w:r>
          </w:p>
          <w:p w14:paraId="162F6AA6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实验室使用危险机加工装置的数量≥3台；</w:t>
            </w:r>
          </w:p>
          <w:p w14:paraId="5405A9CA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实验室使用加热设备数量≥6台；</w:t>
            </w:r>
          </w:p>
          <w:p w14:paraId="0411BA25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实验室每月危险废物产生量≥100 L或kg；</w:t>
            </w:r>
          </w:p>
          <w:p w14:paraId="64423291">
            <w:pPr>
              <w:widowControl w:val="0"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  <w:tr w14:paraId="3DE0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top"/>
          </w:tcPr>
          <w:p w14:paraId="5933B2F3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10分</w:t>
            </w:r>
          </w:p>
        </w:tc>
        <w:tc>
          <w:tcPr>
            <w:tcW w:w="7478" w:type="dxa"/>
            <w:noWrap w:val="0"/>
            <w:vAlign w:val="top"/>
          </w:tcPr>
          <w:p w14:paraId="598DEAA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使用超过人体安全电压（36V）的实验；</w:t>
            </w:r>
          </w:p>
          <w:p w14:paraId="055020C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涉及合成放热实验；</w:t>
            </w:r>
          </w:p>
          <w:p w14:paraId="4C23206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涉及压力实验；</w:t>
            </w:r>
          </w:p>
          <w:p w14:paraId="797F8CF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产生易燃气体的实验；</w:t>
            </w:r>
          </w:p>
          <w:p w14:paraId="4FFEBB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涉及持续加热实验；</w:t>
            </w:r>
          </w:p>
          <w:p w14:paraId="547FD3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使用一般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实验室自制设备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 w14:paraId="6BBA5FF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存储易燃易爆化学品＜5kg或5L；</w:t>
            </w:r>
          </w:p>
          <w:p w14:paraId="536B13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实验室存储一般危化品总量＜50kg或50L；</w:t>
            </w:r>
          </w:p>
          <w:p w14:paraId="54D9CFE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存储有毒、易燃气体1瓶；</w:t>
            </w:r>
          </w:p>
          <w:p w14:paraId="3DAE60B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存储或使用有活性的病原微生物，对人或其他动物感染性较弱，或感染后易治愈；</w:t>
            </w:r>
          </w:p>
          <w:p w14:paraId="7FC3DA6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使用简单压力容器1~2台；</w:t>
            </w:r>
          </w:p>
          <w:p w14:paraId="18E9375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使用III类射线设备1台；</w:t>
            </w:r>
          </w:p>
          <w:p w14:paraId="6194DDC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使用危险机加工装置1~2台；</w:t>
            </w:r>
          </w:p>
          <w:p w14:paraId="15987AF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使用一般机加工装置的数量≥5台；</w:t>
            </w:r>
          </w:p>
          <w:p w14:paraId="0C3B95B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实验室一般用电设备负载≥80%设计负载；</w:t>
            </w:r>
          </w:p>
          <w:p w14:paraId="0BB4639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使用2、2M、1、1M类激光设备的数量≥3台；</w:t>
            </w:r>
          </w:p>
          <w:p w14:paraId="441B849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实验室每月危险废物产生量为20~100 L或kg；</w:t>
            </w:r>
          </w:p>
          <w:p w14:paraId="536B260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实验室使用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加热设备数量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3~5台；</w:t>
            </w:r>
          </w:p>
          <w:p w14:paraId="25C8347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实验室使用每1台明火设备；</w:t>
            </w:r>
          </w:p>
          <w:p w14:paraId="348CB5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  <w:tr w14:paraId="18A7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481" w:type="dxa"/>
            <w:noWrap w:val="0"/>
            <w:vAlign w:val="top"/>
          </w:tcPr>
          <w:p w14:paraId="304B98E2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5分</w:t>
            </w:r>
          </w:p>
        </w:tc>
        <w:tc>
          <w:tcPr>
            <w:tcW w:w="7478" w:type="dxa"/>
            <w:noWrap w:val="0"/>
            <w:vAlign w:val="top"/>
          </w:tcPr>
          <w:p w14:paraId="2C87CD5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存储普通气体1~4瓶；</w:t>
            </w:r>
          </w:p>
          <w:p w14:paraId="3AD4125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使用一般机加工装置1~4台；</w:t>
            </w:r>
          </w:p>
          <w:p w14:paraId="36BEF4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使用2、2M、1、1M类激光设备1~2台；</w:t>
            </w:r>
          </w:p>
          <w:p w14:paraId="465BC09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实验室每月危险废物产生量＜20 L或kg；</w:t>
            </w:r>
          </w:p>
          <w:p w14:paraId="711CADF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实验室使用加热设备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1~2台；</w:t>
            </w:r>
          </w:p>
          <w:p w14:paraId="049E7A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存放危险化学品的防爆冰箱或经防爆改造冰箱数量每1台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 w14:paraId="0435D3B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实验室使用每1台快捷电热设备；</w:t>
            </w:r>
          </w:p>
          <w:p w14:paraId="7560EEA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</w:tbl>
    <w:p w14:paraId="6D38C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注：</w:t>
      </w:r>
    </w:p>
    <w:p w14:paraId="77EA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1.表中所称实验室房间均以面积为50m</w:t>
      </w:r>
      <w:r>
        <w:rPr>
          <w:rFonts w:ascii="Times New Roman" w:hAnsi="Times New Roman" w:eastAsia="仿宋_GB2312" w:cs="Times New Roman"/>
          <w:sz w:val="24"/>
          <w:szCs w:val="22"/>
          <w:vertAlign w:val="superscript"/>
        </w:rPr>
        <w:t>2</w:t>
      </w:r>
      <w:r>
        <w:rPr>
          <w:rFonts w:ascii="Times New Roman" w:hAnsi="Times New Roman" w:eastAsia="仿宋_GB2312" w:cs="Times New Roman"/>
          <w:sz w:val="24"/>
          <w:szCs w:val="22"/>
        </w:rPr>
        <w:t>计，其他面积可按比例调整评价内容；</w:t>
      </w:r>
    </w:p>
    <w:p w14:paraId="2CE6C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2.表中符合任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1</w:t>
      </w:r>
      <w:r>
        <w:rPr>
          <w:rFonts w:ascii="Times New Roman" w:hAnsi="Times New Roman" w:eastAsia="仿宋_GB2312" w:cs="Times New Roman"/>
          <w:sz w:val="24"/>
          <w:szCs w:val="22"/>
        </w:rPr>
        <w:t>种情况计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相应分数</w:t>
      </w:r>
      <w:r>
        <w:rPr>
          <w:rFonts w:ascii="Times New Roman" w:hAnsi="Times New Roman" w:eastAsia="仿宋_GB2312" w:cs="Times New Roman"/>
          <w:sz w:val="24"/>
          <w:szCs w:val="22"/>
        </w:rPr>
        <w:t>，符合多种情况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，分数</w:t>
      </w:r>
      <w:r>
        <w:rPr>
          <w:rFonts w:ascii="Times New Roman" w:hAnsi="Times New Roman" w:eastAsia="仿宋_GB2312" w:cs="Times New Roman"/>
          <w:sz w:val="24"/>
          <w:szCs w:val="22"/>
        </w:rPr>
        <w:t>累加计算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，</w:t>
      </w:r>
      <w:r>
        <w:rPr>
          <w:rFonts w:ascii="Times New Roman" w:hAnsi="Times New Roman" w:eastAsia="仿宋_GB2312" w:cs="Times New Roman"/>
          <w:sz w:val="24"/>
          <w:szCs w:val="22"/>
        </w:rPr>
        <w:t>最高100分；</w:t>
      </w:r>
    </w:p>
    <w:p w14:paraId="054189BB">
      <w:r>
        <w:rPr>
          <w:rFonts w:ascii="Times New Roman" w:hAnsi="Times New Roman" w:eastAsia="仿宋_GB2312" w:cs="Times New Roman"/>
          <w:sz w:val="24"/>
          <w:szCs w:val="22"/>
        </w:rPr>
        <w:t>3.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实验室自制设备</w:t>
      </w:r>
      <w:r>
        <w:rPr>
          <w:rFonts w:ascii="Times New Roman" w:hAnsi="Times New Roman" w:eastAsia="仿宋_GB2312" w:cs="Times New Roman"/>
          <w:sz w:val="24"/>
          <w:szCs w:val="22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设备</w:t>
      </w:r>
      <w:r>
        <w:rPr>
          <w:rFonts w:ascii="Times New Roman" w:hAnsi="Times New Roman" w:eastAsia="仿宋_GB2312" w:cs="Times New Roman"/>
          <w:sz w:val="24"/>
          <w:szCs w:val="22"/>
        </w:rPr>
        <w:t>进行管理。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17AB3"/>
    <w:multiLevelType w:val="singleLevel"/>
    <w:tmpl w:val="E8C17A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2300E8"/>
    <w:multiLevelType w:val="multilevel"/>
    <w:tmpl w:val="6A2300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59B018B"/>
    <w:multiLevelType w:val="multilevel"/>
    <w:tmpl w:val="759B018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0B9C317F"/>
    <w:rsid w:val="1E491D5C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