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37" w:rsidRPr="008E7F99" w:rsidRDefault="007A0F37" w:rsidP="007A0F37">
      <w:pPr>
        <w:pStyle w:val="2"/>
        <w:numPr>
          <w:ilvl w:val="0"/>
          <w:numId w:val="0"/>
        </w:numPr>
        <w:ind w:left="578" w:hanging="578"/>
      </w:pPr>
      <w:bookmarkStart w:id="0" w:name="_Toc40347406"/>
      <w:r w:rsidRPr="008E7F99">
        <w:rPr>
          <w:rFonts w:hint="eastAsia"/>
        </w:rPr>
        <w:t>附录</w:t>
      </w:r>
      <w:bookmarkStart w:id="1" w:name="_GoBack"/>
      <w:bookmarkEnd w:id="1"/>
      <w:r>
        <w:t>D</w:t>
      </w:r>
      <w:r w:rsidRPr="008E7F99">
        <w:t xml:space="preserve"> </w:t>
      </w:r>
      <w:r w:rsidRPr="008E7F99">
        <w:rPr>
          <w:rFonts w:hint="eastAsia"/>
        </w:rPr>
        <w:t>实验室灭火注意事项</w:t>
      </w:r>
      <w:r>
        <w:rPr>
          <w:rFonts w:hint="eastAsia"/>
        </w:rPr>
        <w:t>及各类灭火器的使用方法</w:t>
      </w:r>
      <w:bookmarkEnd w:id="0"/>
    </w:p>
    <w:p w:rsidR="007A0F37" w:rsidRDefault="007A0F37" w:rsidP="007A0F37">
      <w:pPr>
        <w:widowControl/>
        <w:overflowPunct w:val="0"/>
        <w:autoSpaceDE w:val="0"/>
        <w:autoSpaceDN w:val="0"/>
        <w:adjustRightInd w:val="0"/>
        <w:spacing w:line="360" w:lineRule="atLeast"/>
        <w:ind w:firstLine="42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实验室如果着火，应根据情况进行灭火，常用的灭火器有：水、沙、二氧化碳灭火器、四氯化碳灭火器、泡沫灭火器和干粉灭火器等，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注意：以下几种情况不能用水来灭火：</w:t>
      </w:r>
    </w:p>
    <w:p w:rsidR="007A0F37" w:rsidRPr="008C1D29" w:rsidRDefault="007A0F37" w:rsidP="007A0F37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tLeast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 w:rsidRPr="008C1D29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金属钠、钾、镁、铝粉、电石、过氧化钠着火，应用干沙灭火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；</w:t>
      </w:r>
    </w:p>
    <w:p w:rsidR="007A0F37" w:rsidRDefault="007A0F37" w:rsidP="007A0F37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tLeast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比水轻的易燃液体，如汽油、苯、丙酮等着火，可用泡沫灭火器；</w:t>
      </w:r>
    </w:p>
    <w:p w:rsidR="007A0F37" w:rsidRDefault="007A0F37" w:rsidP="007A0F37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tLeast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有灼烧的金属或熔融物的地方着火时，应用干沙或干粉灭火器；</w:t>
      </w:r>
    </w:p>
    <w:p w:rsidR="007A0F37" w:rsidRDefault="007A0F37" w:rsidP="007A0F37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tLeast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电器设备或带电系统着火，可用二氧化碳灭火器或四氯化碳灭火器。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 xml:space="preserve"> </w:t>
      </w:r>
    </w:p>
    <w:p w:rsidR="007A0F37" w:rsidRPr="004E325F" w:rsidRDefault="007A0F37" w:rsidP="007A0F37">
      <w:pPr>
        <w:pStyle w:val="a3"/>
        <w:widowControl/>
        <w:overflowPunct w:val="0"/>
        <w:autoSpaceDE w:val="0"/>
        <w:autoSpaceDN w:val="0"/>
        <w:adjustRightInd w:val="0"/>
        <w:spacing w:line="360" w:lineRule="atLeast"/>
        <w:ind w:left="1140" w:firstLineChars="0" w:firstLine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</w:p>
    <w:p w:rsidR="007A0F37" w:rsidRDefault="007A0F37" w:rsidP="007A0F37">
      <w:r>
        <w:rPr>
          <w:rFonts w:hint="eastAsia"/>
        </w:rPr>
        <w:t>常用灭火器的使用方法如下：</w:t>
      </w:r>
    </w:p>
    <w:p w:rsidR="007A0F37" w:rsidRPr="00351ACE" w:rsidRDefault="007A0F37" w:rsidP="007A0F37">
      <w:r>
        <w:rPr>
          <w:rFonts w:hint="eastAsia"/>
        </w:rPr>
        <w:t xml:space="preserve">（一） </w:t>
      </w:r>
      <w:r w:rsidRPr="00351ACE">
        <w:rPr>
          <w:rFonts w:hint="eastAsia"/>
        </w:rPr>
        <w:t>手提式</w:t>
      </w:r>
      <w:r>
        <w:rPr>
          <w:rFonts w:hint="eastAsia"/>
        </w:rPr>
        <w:t>化学</w:t>
      </w:r>
      <w:r w:rsidRPr="00351ACE">
        <w:rPr>
          <w:rFonts w:hint="eastAsia"/>
        </w:rPr>
        <w:t>泡沫灭火器</w:t>
      </w:r>
    </w:p>
    <w:p w:rsidR="007A0F37" w:rsidRDefault="007A0F37" w:rsidP="007A0F37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tLeast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手提筒体上部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，</w:t>
      </w: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不得过分倾斜，不可横拿或颠倒，以免两种药剂混合提前喷出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；</w:t>
      </w:r>
    </w:p>
    <w:p w:rsidR="007A0F37" w:rsidRPr="00D64979" w:rsidRDefault="007A0F37" w:rsidP="007A0F37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tLeast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 w:rsidRPr="00D64979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距离着火点</w:t>
      </w:r>
      <w:r w:rsidRPr="00D64979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10</w:t>
      </w:r>
      <w:r w:rsidRPr="00D64979">
        <w:rPr>
          <w:rFonts w:ascii="Times New Roman" w:eastAsia="宋体" w:hAnsi="Times New Roman" w:cs="Times New Roman"/>
          <w:bCs/>
          <w:color w:val="000000"/>
          <w:kern w:val="0"/>
          <w:szCs w:val="20"/>
        </w:rPr>
        <w:t xml:space="preserve"> </w:t>
      </w:r>
      <w:r w:rsidRPr="00D64979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米左右，一手握提环，另一手扶住筒底，将筒体倒过来，喷嘴对准火源，用力摇晃几下，泡沫喷出灭火；</w:t>
      </w:r>
    </w:p>
    <w:p w:rsidR="007A0F37" w:rsidRPr="001F34EE" w:rsidRDefault="007A0F37" w:rsidP="007A0F37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tLeast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可燃液体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着</w:t>
      </w: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火，如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已</w:t>
      </w: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呈流淌状燃烧，则将泡沫由远而近喷射，使泡沫完全覆盖在燃烧液面上；如在容器内燃烧，应将泡沫射向容器的内壁，使泡沫沿着内壁流淌，逐步覆盖着火液面。切忌直接对准液面喷射，以免由于射流的冲击，反而将燃烧的液体冲散或冲出容器，扩大燃烧范围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；</w:t>
      </w:r>
    </w:p>
    <w:p w:rsidR="007A0F37" w:rsidRPr="00FA1A8C" w:rsidRDefault="007A0F37" w:rsidP="007A0F37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固体物质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着火</w:t>
      </w: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时，应将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喷嘴</w:t>
      </w: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对准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火焰要部</w:t>
      </w:r>
      <w:r w:rsidRPr="001F34EE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。灭火始终将泡沫喷在燃烧物上，直到扑灭。使用时，灭火器应始终保持倒置状态，否则会中断喷射。</w:t>
      </w:r>
    </w:p>
    <w:p w:rsidR="007A0F37" w:rsidRDefault="007A0F37" w:rsidP="007A0F37">
      <w:pPr>
        <w:spacing w:before="240" w:line="276" w:lineRule="auto"/>
      </w:pPr>
      <w:r>
        <w:rPr>
          <w:rFonts w:hint="eastAsia"/>
        </w:rPr>
        <w:t>（二）空气泡沫灭火器</w:t>
      </w:r>
    </w:p>
    <w:p w:rsidR="007A0F37" w:rsidRPr="00FA1A8C" w:rsidRDefault="007A0F37" w:rsidP="007A0F37">
      <w:pPr>
        <w:pStyle w:val="a3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EFF6E9" wp14:editId="20E03B23">
            <wp:simplePos x="0" y="0"/>
            <wp:positionH relativeFrom="column">
              <wp:posOffset>2521585</wp:posOffset>
            </wp:positionH>
            <wp:positionV relativeFrom="paragraph">
              <wp:posOffset>33997</wp:posOffset>
            </wp:positionV>
            <wp:extent cx="2974975" cy="2567305"/>
            <wp:effectExtent l="0" t="0" r="0" b="4445"/>
            <wp:wrapTight wrapText="bothSides">
              <wp:wrapPolygon edited="0">
                <wp:start x="0" y="0"/>
                <wp:lineTo x="0" y="21477"/>
                <wp:lineTo x="21439" y="21477"/>
                <wp:lineTo x="21439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1A8C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在距燃烧物</w:t>
      </w:r>
      <w:r w:rsidRPr="00FA1A8C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8</w:t>
      </w:r>
      <w:r w:rsidRPr="00FA1A8C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米左右，拔出保险销，一手握住开启压把，另一手紧握喷枪，</w:t>
      </w:r>
      <w:r w:rsidRPr="00FA1A8C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 xml:space="preserve"> </w:t>
      </w:r>
      <w:r w:rsidRPr="00FA1A8C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用力捏紧开启压把，打开密封或刺穿储气瓶密封片，空气泡沫即可从喷枪口喷出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；</w:t>
      </w:r>
    </w:p>
    <w:p w:rsidR="007A0F37" w:rsidRPr="00C45369" w:rsidRDefault="007A0F37" w:rsidP="007A0F37">
      <w:pPr>
        <w:pStyle w:val="a3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240" w:line="276" w:lineRule="auto"/>
        <w:ind w:firstLineChars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 w:rsidRPr="00FA1A8C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使用时，应使灭火器始终保持直立状态、切勿颠倒或横卧使用，否则会中断喷射。同时应一直紧握开启压把，不能松手，否则也会中断喷射。</w:t>
      </w:r>
    </w:p>
    <w:p w:rsidR="007A0F37" w:rsidRPr="001D6A51" w:rsidRDefault="007A0F37" w:rsidP="007A0F37">
      <w:pPr>
        <w:widowControl/>
        <w:overflowPunct w:val="0"/>
        <w:autoSpaceDE w:val="0"/>
        <w:autoSpaceDN w:val="0"/>
        <w:adjustRightInd w:val="0"/>
        <w:spacing w:line="276" w:lineRule="auto"/>
        <w:ind w:firstLine="42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0"/>
        </w:rPr>
      </w:pPr>
      <w:r w:rsidRPr="00FA1A8C">
        <w:rPr>
          <w:rFonts w:ascii="Times New Roman" w:eastAsia="宋体" w:hAnsi="Times New Roman" w:cs="Times New Roman" w:hint="eastAsia"/>
          <w:bCs/>
          <w:color w:val="000000"/>
          <w:kern w:val="0"/>
          <w:szCs w:val="20"/>
        </w:rPr>
        <w:t>泡沫灭火器存放应选择干燥、阴凉通风并取用方便之处，不可靠近高温或可能受到曝晒的地方，以防止碳酸分解而失效；冬季要采取防冻措施，以防止冻结；并应经常擦除灰尘、疏通喷嘴，使之保持通畅。</w:t>
      </w:r>
    </w:p>
    <w:p w:rsidR="007A0F37" w:rsidRPr="00351ACE" w:rsidRDefault="007A0F37" w:rsidP="007A0F37">
      <w:r>
        <w:rPr>
          <w:rFonts w:hint="eastAsia"/>
        </w:rPr>
        <w:t>（三）</w:t>
      </w:r>
      <w:r w:rsidRPr="00351ACE">
        <w:rPr>
          <w:rFonts w:hint="eastAsia"/>
        </w:rPr>
        <w:t>手提式干粉灭火器</w:t>
      </w:r>
    </w:p>
    <w:p w:rsidR="007A0F37" w:rsidRDefault="007A0F37" w:rsidP="007A0F3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使用前将瓶体颠倒几次，使筒内干粉松动；</w:t>
      </w:r>
    </w:p>
    <w:p w:rsidR="007A0F37" w:rsidRDefault="007A0F37" w:rsidP="007A0F3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除掉铅封，拨掉保险销；</w:t>
      </w:r>
    </w:p>
    <w:p w:rsidR="007A0F37" w:rsidRDefault="007A0F37" w:rsidP="007A0F3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一手握着喷管，一手提着压把；在距火焰5-10米的地方，用力压下压把，另</w:t>
      </w:r>
    </w:p>
    <w:p w:rsidR="007A0F37" w:rsidRDefault="007A0F37" w:rsidP="007A0F37">
      <w:pPr>
        <w:pStyle w:val="a3"/>
        <w:ind w:left="840" w:firstLineChars="0"/>
      </w:pPr>
      <w:r>
        <w:rPr>
          <w:rFonts w:hint="eastAsia"/>
        </w:rPr>
        <w:t>一手拿着喷管左右摇摆；</w:t>
      </w:r>
    </w:p>
    <w:p w:rsidR="007A0F37" w:rsidRDefault="007A0F37" w:rsidP="007A0F37">
      <w:pPr>
        <w:pStyle w:val="a3"/>
        <w:numPr>
          <w:ilvl w:val="0"/>
          <w:numId w:val="4"/>
        </w:numPr>
        <w:ind w:firstLineChars="0"/>
      </w:pPr>
      <w:r w:rsidRPr="00351ACE">
        <w:rPr>
          <w:rFonts w:hint="eastAsia"/>
        </w:rPr>
        <w:t>当干粉喷出后，迅速对准火焰的根部扫射</w:t>
      </w:r>
      <w:r>
        <w:rPr>
          <w:rFonts w:hint="eastAsia"/>
        </w:rPr>
        <w:t>；</w:t>
      </w:r>
    </w:p>
    <w:p w:rsidR="007A0F37" w:rsidRPr="00CB7E01" w:rsidRDefault="007A0F37" w:rsidP="007A0F37">
      <w:pPr>
        <w:pStyle w:val="a3"/>
        <w:numPr>
          <w:ilvl w:val="0"/>
          <w:numId w:val="4"/>
        </w:numPr>
        <w:ind w:firstLineChars="0"/>
      </w:pPr>
      <w:r w:rsidRPr="00351ACE">
        <w:rPr>
          <w:rFonts w:hint="eastAsia"/>
        </w:rPr>
        <w:t>手应始终压下压把，不能放开，否则会中断喷射</w:t>
      </w:r>
      <w:r>
        <w:rPr>
          <w:rFonts w:hint="eastAsia"/>
        </w:rPr>
        <w:t>；</w:t>
      </w:r>
    </w:p>
    <w:p w:rsidR="007A0F37" w:rsidRDefault="007A0F37" w:rsidP="007A0F3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喷射干粉覆盖燃烧区，直到把火全部扑灭；</w:t>
      </w:r>
    </w:p>
    <w:p w:rsidR="007A0F37" w:rsidRDefault="007A0F37" w:rsidP="007A0F3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在火熄灭后仍要注意，因干粉的冷却作用很小，火势仍有复燃的可能性；</w:t>
      </w:r>
    </w:p>
    <w:p w:rsidR="007A0F37" w:rsidRDefault="007A0F37" w:rsidP="007A0F37">
      <w:pPr>
        <w:pStyle w:val="a3"/>
        <w:numPr>
          <w:ilvl w:val="0"/>
          <w:numId w:val="4"/>
        </w:numPr>
        <w:ind w:firstLineChars="0"/>
      </w:pPr>
      <w:r w:rsidRPr="00351ACE">
        <w:rPr>
          <w:rFonts w:hint="eastAsia"/>
        </w:rPr>
        <w:t>如在室外，应选择在上风方向喷射。</w:t>
      </w:r>
    </w:p>
    <w:p w:rsidR="007A0F37" w:rsidRDefault="007A0F37" w:rsidP="007A0F37">
      <w:pPr>
        <w:ind w:left="420"/>
      </w:pPr>
    </w:p>
    <w:p w:rsidR="007A0F37" w:rsidRDefault="007A0F37" w:rsidP="007A0F37">
      <w:pPr>
        <w:jc w:val="center"/>
      </w:pPr>
      <w:r>
        <w:rPr>
          <w:noProof/>
        </w:rPr>
        <w:drawing>
          <wp:inline distT="0" distB="0" distL="0" distR="0" wp14:anchorId="5549762B" wp14:editId="7E474242">
            <wp:extent cx="1257897" cy="215939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9851" cy="219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C5DABC" wp14:editId="57652268">
            <wp:extent cx="3847513" cy="1863687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9071" cy="1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F37" w:rsidRDefault="007A0F37" w:rsidP="007A0F37">
      <w:pPr>
        <w:jc w:val="center"/>
      </w:pPr>
    </w:p>
    <w:p w:rsidR="007A0F37" w:rsidRPr="00351ACE" w:rsidRDefault="007A0F37" w:rsidP="007A0F37"/>
    <w:p w:rsidR="007A0F37" w:rsidRDefault="007A0F37" w:rsidP="007A0F37">
      <w:pPr>
        <w:ind w:firstLine="420"/>
      </w:pPr>
      <w:r w:rsidRPr="00351ACE">
        <w:rPr>
          <w:rFonts w:hint="eastAsia"/>
        </w:rPr>
        <w:t>干粉灭火器扑救可燃、易燃液体火灾时，</w:t>
      </w:r>
    </w:p>
    <w:p w:rsidR="007A0F37" w:rsidRDefault="007A0F37" w:rsidP="007A0F37">
      <w:pPr>
        <w:pStyle w:val="a3"/>
        <w:numPr>
          <w:ilvl w:val="0"/>
          <w:numId w:val="5"/>
        </w:numPr>
        <w:ind w:leftChars="200" w:left="840" w:firstLineChars="0"/>
      </w:pPr>
      <w:r w:rsidRPr="005A3BED">
        <w:rPr>
          <w:rFonts w:hint="eastAsia"/>
        </w:rPr>
        <w:t>应对准火焰要部扫射，如果被扑救的液体火灾呈流淌燃烧时，应对准火焰根部</w:t>
      </w:r>
    </w:p>
    <w:p w:rsidR="007A0F37" w:rsidRPr="005A3BED" w:rsidRDefault="007A0F37" w:rsidP="007A0F37">
      <w:pPr>
        <w:pStyle w:val="a3"/>
        <w:ind w:left="840" w:firstLineChars="0"/>
      </w:pPr>
      <w:r w:rsidRPr="005A3BED">
        <w:rPr>
          <w:rFonts w:hint="eastAsia"/>
        </w:rPr>
        <w:t>由近而远，并左右扫射，直至把火焰全部扑灭。</w:t>
      </w:r>
    </w:p>
    <w:p w:rsidR="007A0F37" w:rsidRDefault="007A0F37" w:rsidP="007A0F37">
      <w:pPr>
        <w:pStyle w:val="a3"/>
        <w:numPr>
          <w:ilvl w:val="0"/>
          <w:numId w:val="5"/>
        </w:numPr>
        <w:ind w:leftChars="200" w:left="840" w:firstLineChars="0"/>
      </w:pPr>
      <w:r w:rsidRPr="005A3BED">
        <w:rPr>
          <w:rFonts w:hint="eastAsia"/>
        </w:rPr>
        <w:t>如果可燃液体在容器内燃烧，使用者应对准火焰根部左右晃动扫射，使喷射出</w:t>
      </w:r>
    </w:p>
    <w:p w:rsidR="007A0F37" w:rsidRPr="005A3BED" w:rsidRDefault="007A0F37" w:rsidP="007A0F37">
      <w:pPr>
        <w:pStyle w:val="a3"/>
        <w:ind w:left="840" w:firstLineChars="0"/>
      </w:pPr>
      <w:r w:rsidRPr="005A3BED">
        <w:rPr>
          <w:rFonts w:hint="eastAsia"/>
        </w:rPr>
        <w:t>的干粉流覆盖整个容器开口表面；</w:t>
      </w:r>
    </w:p>
    <w:p w:rsidR="007A0F37" w:rsidRDefault="007A0F37" w:rsidP="007A0F37">
      <w:pPr>
        <w:pStyle w:val="a3"/>
        <w:numPr>
          <w:ilvl w:val="0"/>
          <w:numId w:val="5"/>
        </w:numPr>
        <w:ind w:leftChars="200" w:left="840" w:firstLineChars="0"/>
      </w:pPr>
      <w:r w:rsidRPr="005A3BED">
        <w:rPr>
          <w:rFonts w:hint="eastAsia"/>
        </w:rPr>
        <w:t>当火焰被赶出容器时，使用者仍应继续喷射，直至将火焰全部扑灭。在扑救容</w:t>
      </w:r>
    </w:p>
    <w:p w:rsidR="007A0F37" w:rsidRPr="005A3BED" w:rsidRDefault="007A0F37" w:rsidP="007A0F37">
      <w:pPr>
        <w:pStyle w:val="a3"/>
        <w:ind w:left="1260" w:firstLineChars="0" w:firstLine="0"/>
      </w:pPr>
      <w:r w:rsidRPr="005A3BED">
        <w:rPr>
          <w:rFonts w:hint="eastAsia"/>
        </w:rPr>
        <w:t>器内可燃液体火灾时，应注意不能将喷嘴直接对准液面喷射，防止喷流的冲击力使可燃液体溅出而扩大火势，造成灭火困难</w:t>
      </w:r>
      <w:r>
        <w:rPr>
          <w:rFonts w:hint="eastAsia"/>
        </w:rPr>
        <w:t>；</w:t>
      </w:r>
    </w:p>
    <w:p w:rsidR="007A0F37" w:rsidRDefault="007A0F37" w:rsidP="007A0F37">
      <w:pPr>
        <w:pStyle w:val="a3"/>
        <w:numPr>
          <w:ilvl w:val="0"/>
          <w:numId w:val="5"/>
        </w:numPr>
        <w:ind w:leftChars="200" w:left="840" w:firstLineChars="0"/>
      </w:pPr>
      <w:r w:rsidRPr="005A3BED">
        <w:rPr>
          <w:rFonts w:hint="eastAsia"/>
        </w:rPr>
        <w:t>如果当可燃液体在金属容器中燃烧时间过长，容器的壁温</w:t>
      </w:r>
      <w:r>
        <w:rPr>
          <w:rFonts w:hint="eastAsia"/>
        </w:rPr>
        <w:t>已</w:t>
      </w:r>
      <w:r w:rsidRPr="005A3BED">
        <w:rPr>
          <w:rFonts w:hint="eastAsia"/>
        </w:rPr>
        <w:t>高于扑救可燃液体</w:t>
      </w:r>
    </w:p>
    <w:p w:rsidR="007A0F37" w:rsidRPr="005A3BED" w:rsidRDefault="007A0F37" w:rsidP="007A0F37">
      <w:pPr>
        <w:pStyle w:val="a3"/>
        <w:ind w:left="1260" w:firstLineChars="0" w:firstLine="0"/>
      </w:pPr>
      <w:r w:rsidRPr="005A3BED">
        <w:rPr>
          <w:rFonts w:hint="eastAsia"/>
        </w:rPr>
        <w:t>的自燃点，此时极易造成灭火后再复燃的现象，若与泡沫类灭火器联用，则灭火效果更佳</w:t>
      </w:r>
      <w:r>
        <w:rPr>
          <w:rFonts w:hint="eastAsia"/>
        </w:rPr>
        <w:t>；</w:t>
      </w:r>
    </w:p>
    <w:p w:rsidR="007A0F37" w:rsidRDefault="007A0F37" w:rsidP="007A0F37">
      <w:pPr>
        <w:pStyle w:val="a3"/>
        <w:numPr>
          <w:ilvl w:val="0"/>
          <w:numId w:val="5"/>
        </w:numPr>
        <w:ind w:leftChars="200" w:left="840" w:firstLineChars="0"/>
      </w:pPr>
      <w:r w:rsidRPr="005A3BED">
        <w:rPr>
          <w:rFonts w:hint="eastAsia"/>
        </w:rPr>
        <w:t>使用磷酸铵盐干粉灭火器扑救固体可燃物火灾时，应对准燃烧最猛烈处喷射，</w:t>
      </w:r>
    </w:p>
    <w:p w:rsidR="007A0F37" w:rsidRPr="005A3BED" w:rsidRDefault="007A0F37" w:rsidP="007A0F37">
      <w:pPr>
        <w:pStyle w:val="a3"/>
        <w:ind w:left="840" w:firstLineChars="0"/>
      </w:pPr>
      <w:r w:rsidRPr="005A3BED">
        <w:rPr>
          <w:rFonts w:hint="eastAsia"/>
        </w:rPr>
        <w:t>并上下、左右扫射</w:t>
      </w:r>
      <w:r>
        <w:rPr>
          <w:rFonts w:hint="eastAsia"/>
        </w:rPr>
        <w:t>；</w:t>
      </w:r>
    </w:p>
    <w:p w:rsidR="007A0F37" w:rsidRDefault="007A0F37" w:rsidP="007A0F37">
      <w:pPr>
        <w:pStyle w:val="a3"/>
        <w:numPr>
          <w:ilvl w:val="0"/>
          <w:numId w:val="5"/>
        </w:numPr>
        <w:ind w:leftChars="200" w:left="840" w:firstLineChars="0"/>
      </w:pPr>
      <w:r w:rsidRPr="005A3BED">
        <w:rPr>
          <w:rFonts w:hint="eastAsia"/>
        </w:rPr>
        <w:t>如条件许可，使用者可提着灭火器沿着燃烧物的四周边走边喷，使干粉灭火剂</w:t>
      </w:r>
    </w:p>
    <w:p w:rsidR="007A0F37" w:rsidRPr="005A3BED" w:rsidRDefault="007A0F37" w:rsidP="007A0F37">
      <w:pPr>
        <w:pStyle w:val="a3"/>
        <w:ind w:left="840" w:firstLineChars="0"/>
      </w:pPr>
      <w:r w:rsidRPr="005A3BED">
        <w:rPr>
          <w:rFonts w:hint="eastAsia"/>
        </w:rPr>
        <w:t>均匀地喷在燃烧物的表面，直至将火焰全部扑灭。</w:t>
      </w:r>
    </w:p>
    <w:p w:rsidR="007A0F37" w:rsidRDefault="007A0F37" w:rsidP="007A0F37">
      <w:pPr>
        <w:spacing w:before="240"/>
      </w:pPr>
      <w:r>
        <w:rPr>
          <w:rFonts w:hint="eastAsia"/>
        </w:rPr>
        <w:t>（四） 二氧化碳灭火器</w:t>
      </w:r>
    </w:p>
    <w:p w:rsidR="007A0F37" w:rsidRDefault="007A0F37" w:rsidP="007A0F37">
      <w:pPr>
        <w:ind w:firstLine="420"/>
      </w:pPr>
      <w:r>
        <w:rPr>
          <w:rFonts w:hint="eastAsia"/>
        </w:rPr>
        <w:t>二氧化碳灭火器有开关式和闸刀式两种。</w:t>
      </w:r>
    </w:p>
    <w:p w:rsidR="007A0F37" w:rsidRDefault="007A0F37" w:rsidP="007A0F37">
      <w:pPr>
        <w:ind w:firstLine="420"/>
        <w:jc w:val="center"/>
      </w:pPr>
      <w:r>
        <w:rPr>
          <w:rFonts w:hint="eastAsia"/>
        </w:rPr>
        <w:t>使用时先拨去保险销，然后一手握紧喷射喇叭上的木柄，一手按动鸭舌开关或旋转开关，最后提握器身。需要注意：闸刀式灭火器一旦打开后，就再也不能关闭了。</w:t>
      </w:r>
    </w:p>
    <w:p w:rsidR="007A0F37" w:rsidRDefault="007A0F37" w:rsidP="007A0F37">
      <w:pPr>
        <w:ind w:firstLine="420"/>
        <w:jc w:val="left"/>
      </w:pPr>
      <w:r>
        <w:rPr>
          <w:rFonts w:hint="eastAsia"/>
        </w:rPr>
        <w:t xml:space="preserve">二氧化碳灭火器使用要小心冻伤。 </w:t>
      </w:r>
    </w:p>
    <w:p w:rsidR="007A0F37" w:rsidRDefault="007A0F37" w:rsidP="007A0F37">
      <w:pPr>
        <w:widowControl/>
        <w:jc w:val="left"/>
      </w:pPr>
      <w:r>
        <w:br w:type="page"/>
      </w:r>
    </w:p>
    <w:p w:rsidR="007A0F37" w:rsidRDefault="007A0F37" w:rsidP="007A0F37">
      <w:pPr>
        <w:ind w:firstLine="420"/>
        <w:jc w:val="left"/>
      </w:pPr>
      <w:r>
        <w:rPr>
          <w:rFonts w:hint="eastAsia"/>
        </w:rPr>
        <w:lastRenderedPageBreak/>
        <w:t>二氧化碳灭火器使用方法如下图：</w:t>
      </w:r>
    </w:p>
    <w:p w:rsidR="007A0F37" w:rsidRDefault="007A0F37" w:rsidP="007A0F37">
      <w:pPr>
        <w:ind w:firstLine="420"/>
        <w:jc w:val="left"/>
      </w:pPr>
      <w:r>
        <w:rPr>
          <w:noProof/>
        </w:rPr>
        <w:drawing>
          <wp:inline distT="0" distB="0" distL="0" distR="0" wp14:anchorId="5DE5CDE4" wp14:editId="54188310">
            <wp:extent cx="4969565" cy="2301422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9383" cy="238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421" w:rsidRDefault="002C0421"/>
    <w:sectPr w:rsidR="002C0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43D"/>
    <w:multiLevelType w:val="hybridMultilevel"/>
    <w:tmpl w:val="401A812A"/>
    <w:lvl w:ilvl="0" w:tplc="97B6B81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6CA000D"/>
    <w:multiLevelType w:val="hybridMultilevel"/>
    <w:tmpl w:val="FA6482FC"/>
    <w:lvl w:ilvl="0" w:tplc="97B6B81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FD14A3F"/>
    <w:multiLevelType w:val="hybridMultilevel"/>
    <w:tmpl w:val="401A812A"/>
    <w:lvl w:ilvl="0" w:tplc="97B6B81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FE67EF5"/>
    <w:multiLevelType w:val="hybridMultilevel"/>
    <w:tmpl w:val="B5BA39EC"/>
    <w:lvl w:ilvl="0" w:tplc="97B6B812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2411C2D"/>
    <w:multiLevelType w:val="hybridMultilevel"/>
    <w:tmpl w:val="53DC9D4A"/>
    <w:lvl w:ilvl="0" w:tplc="97B6B81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9413DC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37"/>
    <w:rsid w:val="002C0421"/>
    <w:rsid w:val="007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D17B"/>
  <w15:chartTrackingRefBased/>
  <w15:docId w15:val="{48705497-1F77-46D4-A3BD-C8401198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F37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7A0F37"/>
    <w:pPr>
      <w:keepNext/>
      <w:keepLines/>
      <w:numPr>
        <w:numId w:val="6"/>
      </w:numPr>
      <w:spacing w:before="120" w:after="12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A0F37"/>
    <w:pPr>
      <w:keepNext/>
      <w:keepLines/>
      <w:numPr>
        <w:ilvl w:val="1"/>
        <w:numId w:val="6"/>
      </w:numPr>
      <w:spacing w:before="12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A0F37"/>
    <w:pPr>
      <w:keepNext/>
      <w:keepLines/>
      <w:numPr>
        <w:ilvl w:val="2"/>
        <w:numId w:val="6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A0F37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F37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F37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F37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F37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F37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F37"/>
    <w:rPr>
      <w:rFonts w:asciiTheme="minorHAnsi" w:eastAsiaTheme="minorEastAsia" w:hAnsiTheme="minorHAnsi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A0F37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7A0F37"/>
    <w:rPr>
      <w:rFonts w:asciiTheme="minorHAnsi" w:eastAsiaTheme="minorEastAsia" w:hAnsiTheme="minorHAns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A0F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F37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7A0F3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7A0F37"/>
    <w:rPr>
      <w:rFonts w:asciiTheme="minorHAnsi" w:eastAsiaTheme="minorEastAsia" w:hAnsiTheme="minorHAnsi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A0F37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A0F37"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uiPriority w:val="34"/>
    <w:qFormat/>
    <w:rsid w:val="007A0F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Huang</dc:creator>
  <cp:keywords/>
  <dc:description/>
  <cp:lastModifiedBy>Jin Huang</cp:lastModifiedBy>
  <cp:revision>1</cp:revision>
  <dcterms:created xsi:type="dcterms:W3CDTF">2020-09-15T02:33:00Z</dcterms:created>
  <dcterms:modified xsi:type="dcterms:W3CDTF">2020-09-15T02:35:00Z</dcterms:modified>
</cp:coreProperties>
</file>